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January 18 &amp;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>When you draw, what is the thing you do best?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Signed Dis. Doc. DUE    TODAY!</w:t>
      </w:r>
    </w:p>
    <w:p w:rsidR="00D552BD" w:rsidRDefault="00901453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Take care of your</w:t>
      </w:r>
      <w:r w:rsidR="00D552BD">
        <w:rPr>
          <w:rFonts w:ascii="Elephant" w:hAnsi="Elephant" w:cs="Aharoni"/>
          <w:b/>
          <w:color w:val="FF0000"/>
          <w:sz w:val="36"/>
          <w:szCs w:val="36"/>
        </w:rPr>
        <w:t xml:space="preserve"> class fee TODAY!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552BD" w:rsidRDefault="00D552BD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Disclosure Document quiz</w:t>
      </w:r>
    </w:p>
    <w:p w:rsidR="00D552BD" w:rsidRDefault="0090145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your neighbor activity</w:t>
      </w:r>
    </w:p>
    <w:p w:rsidR="00D552BD" w:rsidRDefault="0090145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gesture drawings (watch clip)</w:t>
      </w:r>
    </w:p>
    <w:p w:rsidR="00901453" w:rsidRPr="00D552BD" w:rsidRDefault="0090145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gesture drawings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r w:rsidR="006718E4">
        <w:rPr>
          <w:rFonts w:ascii="Comic Sans MS" w:hAnsi="Comic Sans MS"/>
          <w:color w:val="FF9900"/>
          <w:sz w:val="44"/>
          <w:szCs w:val="44"/>
        </w:rPr>
        <w:t>Do “Navigate the Website” worksheet.</w:t>
      </w:r>
    </w:p>
    <w:bookmarkEnd w:id="0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4A1CA8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2D425A"/>
    <w:rsid w:val="00387BFC"/>
    <w:rsid w:val="004A1CA8"/>
    <w:rsid w:val="006718E4"/>
    <w:rsid w:val="00861B85"/>
    <w:rsid w:val="0090145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945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2019-01-17T23:53:00Z</dcterms:created>
  <dcterms:modified xsi:type="dcterms:W3CDTF">2019-01-17T23:53:00Z</dcterms:modified>
</cp:coreProperties>
</file>