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120" w:before="120" w:lineRule="auto"/>
        <w:contextualSpacing w:val="0"/>
        <w:jc w:val="center"/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Islam: A Brief History</w:t>
      </w:r>
    </w:p>
    <w:p w:rsidR="00000000" w:rsidDel="00000000" w:rsidP="00000000" w:rsidRDefault="00000000" w:rsidRPr="00000000" w14:paraId="00000001">
      <w:pPr>
        <w:pBdr>
          <w:top w:color="auto" w:space="7" w:sz="0" w:val="none"/>
          <w:left w:color="auto" w:space="7" w:sz="0" w:val="none"/>
          <w:bottom w:color="auto" w:space="0" w:sz="0" w:val="none"/>
          <w:right w:color="auto" w:space="7" w:sz="0" w:val="none"/>
        </w:pBdr>
        <w:shd w:fill="ffffff" w:val="clear"/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Directions: Read the information below, list some things that you like and that you think is interesting. This is to give you some background on the reasoning behind Islamic Design. </w:t>
      </w:r>
    </w:p>
    <w:p w:rsidR="00000000" w:rsidDel="00000000" w:rsidP="00000000" w:rsidRDefault="00000000" w:rsidRPr="00000000" w14:paraId="00000002">
      <w:pPr>
        <w:pBdr>
          <w:top w:color="auto" w:space="7" w:sz="0" w:val="none"/>
          <w:left w:color="auto" w:space="7" w:sz="0" w:val="none"/>
          <w:bottom w:color="auto" w:space="0" w:sz="0" w:val="none"/>
          <w:right w:color="auto" w:space="7" w:sz="0" w:val="none"/>
        </w:pBdr>
        <w:shd w:fill="ffffff" w:val="clear"/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0" w:line="240" w:lineRule="auto"/>
        <w:contextualSpacing w:val="0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history of Islam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concerns the political, economic, social, and cultural developments of the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Islamic civilization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. Despite concerns about the reliability of early sources, most historians</w:t>
      </w:r>
      <w:hyperlink r:id="rId6">
        <w:r w:rsidDel="00000000" w:rsidR="00000000" w:rsidRPr="00000000">
          <w:rPr>
            <w:rFonts w:ascii="Calibri" w:cs="Calibri" w:eastAsia="Calibri" w:hAnsi="Calibri"/>
            <w:color w:val="0b0080"/>
            <w:u w:val="single"/>
            <w:vertAlign w:val="superscript"/>
            <w:rtl w:val="0"/>
          </w:rPr>
          <w:t xml:space="preserve">[1]</w:t>
        </w:r>
      </w:hyperlink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believe that Islam originated in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Mecca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Medina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at the start of the 7th century.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Muslims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however believe that it did not start with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Muhammad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, but that it was the original faith of others whom they regard as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Prophets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, such as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Jesus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David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Moses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Abraham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Noah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Adam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222222"/>
          <w:vertAlign w:val="superscript"/>
          <w:rtl w:val="0"/>
        </w:rPr>
        <w:t xml:space="preserve">[2]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[3][4]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="240" w:lineRule="auto"/>
        <w:contextualSpacing w:val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In 610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CE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Muhammad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began receiving what Muslims consider to be divine revelations.</w:t>
      </w:r>
      <w:hyperlink r:id="rId7">
        <w:r w:rsidDel="00000000" w:rsidR="00000000" w:rsidRPr="00000000">
          <w:rPr>
            <w:rFonts w:ascii="Calibri" w:cs="Calibri" w:eastAsia="Calibri" w:hAnsi="Calibri"/>
            <w:color w:val="0b0080"/>
            <w:u w:val="single"/>
            <w:vertAlign w:val="superscript"/>
            <w:rtl w:val="0"/>
          </w:rPr>
          <w:t xml:space="preserve">[5]</w:t>
        </w:r>
      </w:hyperlink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Muhammad's message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won over a handful of followers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and was met with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increasing opposition from notables of Mecca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.</w:t>
      </w:r>
      <w:hyperlink r:id="rId8">
        <w:r w:rsidDel="00000000" w:rsidR="00000000" w:rsidRPr="00000000">
          <w:rPr>
            <w:rFonts w:ascii="Calibri" w:cs="Calibri" w:eastAsia="Calibri" w:hAnsi="Calibri"/>
            <w:color w:val="0b0080"/>
            <w:u w:val="single"/>
            <w:vertAlign w:val="superscript"/>
            <w:rtl w:val="0"/>
          </w:rPr>
          <w:t xml:space="preserve">[6]</w:t>
        </w:r>
      </w:hyperlink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In 618, after he lost protection with the death of his influential uncle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Abu Talib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, Muhammad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migrated to the city of Yathrib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Medina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). With Muhammad's death in 632, disagreement broke out over who would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succeed him as leader of the Muslim community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which was eventually resurrected leading to the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First Fitna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. The dispute would intensify greatly after the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Battle of Karbala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, in which Muhammad's grandson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Hussein ibn Ali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was killed by the ruling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Umayyad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Caliph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Yazid I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, and the outcry for revenge divided the early Islamic community.</w:t>
      </w:r>
    </w:p>
    <w:p w:rsidR="00000000" w:rsidDel="00000000" w:rsidP="00000000" w:rsidRDefault="00000000" w:rsidRPr="00000000" w14:paraId="00000005">
      <w:pPr>
        <w:shd w:fill="ffffff" w:val="clear"/>
        <w:spacing w:after="0" w:before="0" w:line="240" w:lineRule="auto"/>
        <w:contextualSpacing w:val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By the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8th century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, the… 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Islamic civilization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gave rise to many centers of culture and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science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and produced notable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astronomers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mathematicians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doctors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philosophers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during the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Golden Age of Islam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hd w:fill="ffffff" w:val="clear"/>
        <w:spacing w:after="0" w:before="0" w:line="240" w:lineRule="auto"/>
        <w:contextualSpacing w:val="0"/>
        <w:rPr>
          <w:rFonts w:ascii="Calibri" w:cs="Calibri" w:eastAsia="Calibri" w:hAnsi="Calibri"/>
          <w:color w:val="222222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222222"/>
          <w:sz w:val="18"/>
          <w:szCs w:val="18"/>
          <w:rtl w:val="0"/>
        </w:rPr>
        <w:t xml:space="preserve">Source: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u w:val="single"/>
            <w:rtl w:val="0"/>
          </w:rPr>
          <w:t xml:space="preserve">https://en.wikipedia.org/wiki/History_of_Islam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before="0" w:line="240" w:lineRule="auto"/>
        <w:contextualSpacing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Islamic decoration, which tends to avoid using figurative images, makes frequent use of geometric patterns which have developed over the centuries.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18"/>
          <w:szCs w:val="18"/>
          <w:highlight w:val="white"/>
          <w:rtl w:val="0"/>
        </w:rPr>
        <w:t xml:space="preserve">Source: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highlight w:val="white"/>
            <w:u w:val="single"/>
            <w:rtl w:val="0"/>
          </w:rPr>
          <w:t xml:space="preserve">https://en.wikipedia.org/wiki/Islamic_geometric_patterns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before="0" w:line="240" w:lineRule="auto"/>
        <w:contextualSpacing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before="0" w:line="240" w:lineRule="auto"/>
        <w:contextualSpacing w:val="0"/>
        <w:rPr>
          <w:rFonts w:ascii="Calibri" w:cs="Calibri" w:eastAsia="Calibri" w:hAnsi="Calibri"/>
          <w:b w:val="1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Hajj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/hædʒ/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;</w:t>
      </w:r>
      <w:hyperlink r:id="rId11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vertAlign w:val="superscript"/>
            <w:rtl w:val="0"/>
          </w:rPr>
          <w:t xml:space="preserve">[1]</w:t>
        </w:r>
      </w:hyperlink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Arabic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ّ‎ </w:t>
      </w:r>
      <w:r w:rsidDel="00000000" w:rsidR="00000000" w:rsidRPr="00000000">
        <w:rPr>
          <w:rFonts w:ascii="Calibri" w:cs="Calibri" w:eastAsia="Calibri" w:hAnsi="Calibri"/>
          <w:i w:val="1"/>
          <w:color w:val="222222"/>
          <w:highlight w:val="white"/>
          <w:rtl w:val="0"/>
        </w:rPr>
        <w:t xml:space="preserve">Ḥaǧǧ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pilgrimage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") is an annual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Islamic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pilgrimage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to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Mecca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vertAlign w:val="superscript"/>
          <w:rtl w:val="0"/>
        </w:rPr>
        <w:t xml:space="preserve">[2]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the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holiest city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for Muslims, and a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mandatory religious duty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for Muslims that must be carried out at least once in their lifetime by all adult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Muslims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who are physically and financially capable of undertaking the journey, and can support their family during their absence. ...The Hajj is a demonstration of the solidarity of the Muslim people, and their submission to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God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Allah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).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vertAlign w:val="superscript"/>
          <w:rtl w:val="0"/>
        </w:rPr>
        <w:t xml:space="preserve">[7]</w:t>
      </w:r>
      <w:r w:rsidDel="00000000" w:rsidR="00000000" w:rsidRPr="00000000">
        <w:rPr>
          <w:rFonts w:ascii="Calibri" w:cs="Calibri" w:eastAsia="Calibri" w:hAnsi="Calibri"/>
          <w:highlight w:val="white"/>
          <w:vertAlign w:val="superscript"/>
          <w:rtl w:val="0"/>
        </w:rPr>
        <w:t xml:space="preserve">[8]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The word Hajj means "to intend a journey", which connotes both the outward act of a journey and the inward act of intentions.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before="0" w:line="240" w:lineRule="auto"/>
        <w:contextualSpacing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before="0" w:line="240" w:lineRule="auto"/>
        <w:contextualSpacing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During Hajj, pilgrims join processions of hundreds of thousands of people, who simultaneously converge on Mecca for the week of the Hajj, and perform a series of rituals: each person walks counterclockwise seven times around the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Kaaba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(the cube-shaped building and the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direction of prayer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for the Muslims), runs back and forth between the hills of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Safa and Marwah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, drinks from the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Zamzam Well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, goes to the plains of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Mount Arafat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to stand in vigil, spends a night in the plain of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Muzdalifa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, and performs symbolic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stoning of the devil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by throwing stones at three pillars.</w:t>
      </w:r>
    </w:p>
    <w:p w:rsidR="00000000" w:rsidDel="00000000" w:rsidP="00000000" w:rsidRDefault="00000000" w:rsidRPr="00000000" w14:paraId="0000000E">
      <w:pPr>
        <w:shd w:fill="ffffff" w:val="clear"/>
        <w:spacing w:after="0" w:before="0" w:line="240" w:lineRule="auto"/>
        <w:contextualSpacing w:val="0"/>
        <w:rPr>
          <w:rFonts w:ascii="Calibri" w:cs="Calibri" w:eastAsia="Calibri" w:hAnsi="Calibri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18"/>
          <w:szCs w:val="18"/>
          <w:highlight w:val="white"/>
          <w:rtl w:val="0"/>
        </w:rPr>
        <w:t xml:space="preserve">Source: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highlight w:val="white"/>
            <w:u w:val="single"/>
            <w:rtl w:val="0"/>
          </w:rPr>
          <w:t xml:space="preserve">https://en.wikipedia.org/wiki/Hajj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before="0" w:line="240" w:lineRule="auto"/>
        <w:contextualSpacing w:val="0"/>
        <w:rPr>
          <w:rFonts w:ascii="Calibri" w:cs="Calibri" w:eastAsia="Calibri" w:hAnsi="Calibri"/>
          <w:color w:val="222222"/>
          <w:highlight w:val="white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en.wikipedia.org/wiki/Hajj#cite_note-1" TargetMode="External"/><Relationship Id="rId10" Type="http://schemas.openxmlformats.org/officeDocument/2006/relationships/hyperlink" Target="https://en.wikipedia.org/wiki/Islamic_geometric_patterns" TargetMode="External"/><Relationship Id="rId12" Type="http://schemas.openxmlformats.org/officeDocument/2006/relationships/hyperlink" Target="https://en.wikipedia.org/wiki/Hajj" TargetMode="External"/><Relationship Id="rId9" Type="http://schemas.openxmlformats.org/officeDocument/2006/relationships/hyperlink" Target="https://en.wikipedia.org/wiki/History_of_Islam" TargetMode="External"/><Relationship Id="rId5" Type="http://schemas.openxmlformats.org/officeDocument/2006/relationships/styles" Target="styles.xml"/><Relationship Id="rId6" Type="http://schemas.openxmlformats.org/officeDocument/2006/relationships/hyperlink" Target="https://en.wikipedia.org/wiki/History_of_Islam#cite_note-Watt2003-1" TargetMode="External"/><Relationship Id="rId7" Type="http://schemas.openxmlformats.org/officeDocument/2006/relationships/hyperlink" Target="https://en.wikipedia.org/wiki/History_of_Islam#cite_note-Muhammad_p._363-5" TargetMode="External"/><Relationship Id="rId8" Type="http://schemas.openxmlformats.org/officeDocument/2006/relationships/hyperlink" Target="https://en.wikipedia.org/wiki/History_of_Islam#cite_note-Mecca._p._364-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